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660BE" w14:textId="77777777" w:rsidR="00394445" w:rsidRPr="00394445" w:rsidRDefault="00394445" w:rsidP="00394445">
      <w:pPr>
        <w:jc w:val="center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UK Tax Strategy</w:t>
      </w:r>
    </w:p>
    <w:p w14:paraId="5E6A1C88" w14:textId="77777777" w:rsidR="00394445" w:rsidRPr="00394445" w:rsidRDefault="00394445" w:rsidP="00394445">
      <w:pPr>
        <w:spacing w:after="240"/>
        <w:jc w:val="center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December 31, 2023</w:t>
      </w:r>
    </w:p>
    <w:p w14:paraId="27D5807F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Introduction</w:t>
      </w:r>
    </w:p>
    <w:p w14:paraId="44AF61FA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TPI Composites UK Company Limited (“TPI UK”), an indirect, wholly owned subsidiary of TPI</w:t>
      </w:r>
    </w:p>
    <w:p w14:paraId="7F70B9A8" w14:textId="204474D6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Composites, Inc., presents its UK tax strategy ("The Strategy") in alignment with the Finance Act 2016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as outlined in paragraphs 19(2) and 22(2) of Schedule 19. This strategy, approved by the Board of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Directors of TPI UK, outlines our approach to tax affairs and risk management, reflecting our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commitment to transparency and compliance. The Strategy is guided by TPI's core values of Safety,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Operational Excellence, Commitment, Integrity, and Leadership, underscoring our dedication to our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customers, employees, and shareholders’ interests.</w:t>
      </w:r>
    </w:p>
    <w:p w14:paraId="228F5CEA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Tax Risk Management</w:t>
      </w:r>
    </w:p>
    <w:p w14:paraId="4CAEA014" w14:textId="77777777" w:rsid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Tax risk management is integral to our operational excellence and commitment to integrity. TPI UK is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dedicated to identifying, assessing, and mitigating tax risks to ensure compliance with applicable laws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and regulations. The risk management framework encompasses regular reviews of tax processes,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internal controls, and ongoing monitoring of changes in tax legislation and interpretations.</w:t>
      </w:r>
      <w:r>
        <w:rPr>
          <w:rFonts w:cstheme="minorHAnsi"/>
          <w:sz w:val="22"/>
          <w:szCs w:val="22"/>
        </w:rPr>
        <w:t xml:space="preserve"> </w:t>
      </w:r>
    </w:p>
    <w:p w14:paraId="209F6C80" w14:textId="3170BA7A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Qualified professionals within TPI’s Corporate Tax Department oversee tax affairs in the UK, ensuring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accountability and expertise. When making decisions on tax risk, the materiality of any item is taken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into consideration, as well as the costs of effective risk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mitigation. Specifically, there are no pre-defined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limits on the amount of acceptable tax risk as it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will be judged on an issue-by-issue basis. When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uncertainty as to the application or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interpretation of the tax law exists, appropriate advice evidencing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the facts, risks and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conclusions may be taken from third party advisors to support the decision-making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process.</w:t>
      </w:r>
    </w:p>
    <w:p w14:paraId="1F122FA9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Attitude to Tax Planning</w:t>
      </w:r>
    </w:p>
    <w:p w14:paraId="17BB32F9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TPI UK approaches tax planning with a commitment to integrity and compliance and affirms its</w:t>
      </w:r>
    </w:p>
    <w:p w14:paraId="372032C4" w14:textId="4BE26B5E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commitment to paying taxes legally due in the UK. While TPI UK seeks to optimize its tax position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within the boundaries of the law, transparency and ethical considerations are prioritized in all tax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planning activities. TPI UK adheres to the arm's length principle in transfer pricing. In instances of tax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law ambiguity, TPI UK adopts the most tax-efficient approach while maintaining compliance. External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advice may be sought for complex or uncertain tax matters, with the Corporate Tax Department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exercising prudent judgment in strategic tax planning.</w:t>
      </w:r>
    </w:p>
    <w:p w14:paraId="694866F0" w14:textId="7777777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Working with HMRC</w:t>
      </w:r>
    </w:p>
    <w:p w14:paraId="4F5B5153" w14:textId="2FDD9617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TPI UK strives to comply with all relevant compliance and disclosure requirements in an open and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transparent manner ensuring that all information provided to HM Revenue &amp; Customs (“HMRC”) is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clearly presented. In its dealings with HMRC, TPI UK is committed to act in a collaborative, courteous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and timely manner. TPI UK aim is to strive for early agreement on disputed matters, achieve certainty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whenever possible, and thus minimize tax risk.</w:t>
      </w:r>
    </w:p>
    <w:p w14:paraId="7C6A3D2D" w14:textId="40ED944F" w:rsidR="00394445" w:rsidRPr="00394445" w:rsidRDefault="00394445" w:rsidP="00394445">
      <w:pPr>
        <w:spacing w:after="240"/>
        <w:rPr>
          <w:rFonts w:cstheme="minorHAnsi"/>
          <w:sz w:val="22"/>
          <w:szCs w:val="22"/>
        </w:rPr>
      </w:pPr>
      <w:r w:rsidRPr="00394445">
        <w:rPr>
          <w:rFonts w:cstheme="minorHAnsi"/>
          <w:sz w:val="22"/>
          <w:szCs w:val="22"/>
        </w:rPr>
        <w:t>In summary, TPI UK maintains a tax strategy in the UK grounded in integrity, compliance, and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collaboration. By aligning with our core values and implementing robust tax risk management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lastRenderedPageBreak/>
        <w:t>practices,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we demonstrate our commitment to responsible corporate citizenship and sustainable business</w:t>
      </w:r>
      <w:r>
        <w:rPr>
          <w:rFonts w:cstheme="minorHAnsi"/>
          <w:sz w:val="22"/>
          <w:szCs w:val="22"/>
        </w:rPr>
        <w:t xml:space="preserve"> </w:t>
      </w:r>
      <w:r w:rsidRPr="00394445">
        <w:rPr>
          <w:rFonts w:cstheme="minorHAnsi"/>
          <w:sz w:val="22"/>
          <w:szCs w:val="22"/>
        </w:rPr>
        <w:t>operations.</w:t>
      </w:r>
    </w:p>
    <w:p w14:paraId="3CE8DBC2" w14:textId="77777777" w:rsidR="0046642F" w:rsidRDefault="0046642F"/>
    <w:sectPr w:rsidR="00466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45"/>
    <w:rsid w:val="000A51CA"/>
    <w:rsid w:val="001122F3"/>
    <w:rsid w:val="00394445"/>
    <w:rsid w:val="0046642F"/>
    <w:rsid w:val="00742412"/>
    <w:rsid w:val="007B6D4A"/>
    <w:rsid w:val="00A91D17"/>
    <w:rsid w:val="00B9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E12F83"/>
  <w15:chartTrackingRefBased/>
  <w15:docId w15:val="{4E72227D-5D50-1A4E-8AB0-AAF2943E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D4A"/>
    <w:rPr>
      <w:color w:val="435363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3C6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3C6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445"/>
    <w:pPr>
      <w:keepNext/>
      <w:keepLines/>
      <w:spacing w:before="160" w:after="80"/>
      <w:outlineLvl w:val="2"/>
    </w:pPr>
    <w:rPr>
      <w:rFonts w:eastAsiaTheme="majorEastAsia" w:cstheme="majorBidi"/>
      <w:color w:val="003C6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C6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445"/>
    <w:pPr>
      <w:keepNext/>
      <w:keepLines/>
      <w:spacing w:before="80" w:after="40"/>
      <w:outlineLvl w:val="4"/>
    </w:pPr>
    <w:rPr>
      <w:rFonts w:eastAsiaTheme="majorEastAsia" w:cstheme="majorBidi"/>
      <w:color w:val="003C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445"/>
    <w:pPr>
      <w:keepNext/>
      <w:keepLines/>
      <w:spacing w:before="40"/>
      <w:outlineLvl w:val="5"/>
    </w:pPr>
    <w:rPr>
      <w:rFonts w:eastAsiaTheme="majorEastAsia" w:cstheme="majorBidi"/>
      <w:i/>
      <w:iCs/>
      <w:color w:val="798EA4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445"/>
    <w:pPr>
      <w:keepNext/>
      <w:keepLines/>
      <w:spacing w:before="40"/>
      <w:outlineLvl w:val="6"/>
    </w:pPr>
    <w:rPr>
      <w:rFonts w:eastAsiaTheme="majorEastAsia" w:cstheme="majorBidi"/>
      <w:color w:val="798EA4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445"/>
    <w:pPr>
      <w:keepNext/>
      <w:keepLines/>
      <w:outlineLvl w:val="7"/>
    </w:pPr>
    <w:rPr>
      <w:rFonts w:eastAsiaTheme="majorEastAsia" w:cstheme="majorBidi"/>
      <w:i/>
      <w:iCs/>
      <w:color w:val="586D8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445"/>
    <w:pPr>
      <w:keepNext/>
      <w:keepLines/>
      <w:outlineLvl w:val="8"/>
    </w:pPr>
    <w:rPr>
      <w:rFonts w:eastAsiaTheme="majorEastAsia" w:cstheme="majorBidi"/>
      <w:color w:val="586D8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445"/>
    <w:rPr>
      <w:rFonts w:asciiTheme="majorHAnsi" w:eastAsiaTheme="majorEastAsia" w:hAnsiTheme="majorHAnsi" w:cstheme="majorBidi"/>
      <w:color w:val="003C6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445"/>
    <w:rPr>
      <w:rFonts w:asciiTheme="majorHAnsi" w:eastAsiaTheme="majorEastAsia" w:hAnsiTheme="majorHAnsi" w:cstheme="majorBidi"/>
      <w:color w:val="003C6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445"/>
    <w:rPr>
      <w:rFonts w:eastAsiaTheme="majorEastAsia" w:cstheme="majorBidi"/>
      <w:color w:val="003C6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445"/>
    <w:rPr>
      <w:rFonts w:eastAsiaTheme="majorEastAsia" w:cstheme="majorBidi"/>
      <w:i/>
      <w:iCs/>
      <w:color w:val="003C6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445"/>
    <w:rPr>
      <w:rFonts w:eastAsiaTheme="majorEastAsia" w:cstheme="majorBidi"/>
      <w:color w:val="003C6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445"/>
    <w:rPr>
      <w:rFonts w:eastAsiaTheme="majorEastAsia" w:cstheme="majorBidi"/>
      <w:i/>
      <w:iCs/>
      <w:color w:val="798EA4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445"/>
    <w:rPr>
      <w:rFonts w:eastAsiaTheme="majorEastAsia" w:cstheme="majorBidi"/>
      <w:color w:val="798EA4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445"/>
    <w:rPr>
      <w:rFonts w:eastAsiaTheme="majorEastAsia" w:cstheme="majorBidi"/>
      <w:i/>
      <w:iCs/>
      <w:color w:val="586D8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445"/>
    <w:rPr>
      <w:rFonts w:eastAsiaTheme="majorEastAsia" w:cstheme="majorBidi"/>
      <w:color w:val="586D8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44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445"/>
    <w:pPr>
      <w:numPr>
        <w:ilvl w:val="1"/>
      </w:numPr>
      <w:spacing w:after="160"/>
    </w:pPr>
    <w:rPr>
      <w:rFonts w:eastAsiaTheme="majorEastAsia" w:cstheme="majorBidi"/>
      <w:color w:val="798EA4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445"/>
    <w:rPr>
      <w:rFonts w:eastAsiaTheme="majorEastAsia" w:cstheme="majorBidi"/>
      <w:color w:val="798EA4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445"/>
    <w:pPr>
      <w:spacing w:before="160" w:after="160"/>
      <w:jc w:val="center"/>
    </w:pPr>
    <w:rPr>
      <w:i/>
      <w:iCs/>
      <w:color w:val="667E9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445"/>
    <w:rPr>
      <w:i/>
      <w:iCs/>
      <w:color w:val="667E96" w:themeColor="text1" w:themeTint="BF"/>
    </w:rPr>
  </w:style>
  <w:style w:type="paragraph" w:styleId="ListParagraph">
    <w:name w:val="List Paragraph"/>
    <w:basedOn w:val="Normal"/>
    <w:uiPriority w:val="34"/>
    <w:qFormat/>
    <w:rsid w:val="00394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445"/>
    <w:rPr>
      <w:i/>
      <w:iCs/>
      <w:color w:val="003C6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445"/>
    <w:pPr>
      <w:pBdr>
        <w:top w:val="single" w:sz="4" w:space="10" w:color="003C65" w:themeColor="accent1" w:themeShade="BF"/>
        <w:bottom w:val="single" w:sz="4" w:space="10" w:color="003C65" w:themeColor="accent1" w:themeShade="BF"/>
      </w:pBdr>
      <w:spacing w:before="360" w:after="360"/>
      <w:ind w:left="864" w:right="864"/>
      <w:jc w:val="center"/>
    </w:pPr>
    <w:rPr>
      <w:i/>
      <w:iCs/>
      <w:color w:val="003C6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445"/>
    <w:rPr>
      <w:i/>
      <w:iCs/>
      <w:color w:val="003C6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445"/>
    <w:rPr>
      <w:b/>
      <w:bCs/>
      <w:smallCaps/>
      <w:color w:val="003C65" w:themeColor="accent1" w:themeShade="BF"/>
      <w:spacing w:val="5"/>
    </w:rPr>
  </w:style>
  <w:style w:type="paragraph" w:customStyle="1" w:styleId="p1">
    <w:name w:val="p1"/>
    <w:basedOn w:val="Normal"/>
    <w:rsid w:val="00394445"/>
    <w:rPr>
      <w:rFonts w:ascii="Arial" w:eastAsia="Times New Roman" w:hAnsi="Arial" w:cs="Arial"/>
      <w:color w:val="000000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394445"/>
    <w:rPr>
      <w:rFonts w:ascii="Arial" w:eastAsia="Times New Roman" w:hAnsi="Arial" w:cs="Arial"/>
      <w:color w:val="000000"/>
      <w:kern w:val="0"/>
      <w:sz w:val="17"/>
      <w:szCs w:val="17"/>
      <w14:ligatures w14:val="none"/>
    </w:rPr>
  </w:style>
  <w:style w:type="paragraph" w:styleId="Revision">
    <w:name w:val="Revision"/>
    <w:hidden/>
    <w:uiPriority w:val="99"/>
    <w:semiHidden/>
    <w:rsid w:val="00742412"/>
    <w:rPr>
      <w:color w:val="435363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022 Theme">
  <a:themeElements>
    <a:clrScheme name="TPI Colors 2020">
      <a:dk1>
        <a:srgbClr val="435363"/>
      </a:dk1>
      <a:lt1>
        <a:srgbClr val="FFFFFF"/>
      </a:lt1>
      <a:dk2>
        <a:srgbClr val="094272"/>
      </a:dk2>
      <a:lt2>
        <a:srgbClr val="89C54D"/>
      </a:lt2>
      <a:accent1>
        <a:srgbClr val="005187"/>
      </a:accent1>
      <a:accent2>
        <a:srgbClr val="419E41"/>
      </a:accent2>
      <a:accent3>
        <a:srgbClr val="00682B"/>
      </a:accent3>
      <a:accent4>
        <a:srgbClr val="00B3E3"/>
      </a:accent4>
      <a:accent5>
        <a:srgbClr val="F37020"/>
      </a:accent5>
      <a:accent6>
        <a:srgbClr val="F1A720"/>
      </a:accent6>
      <a:hlink>
        <a:srgbClr val="00B3E3"/>
      </a:hlink>
      <a:folHlink>
        <a:srgbClr val="F1A72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2022 Theme" id="{AD392ECB-6CC3-7A47-84D2-409D3489BCEF}" vid="{C668B173-364F-FC45-9349-F25D51E4CDF8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David</dc:creator>
  <cp:keywords/>
  <dc:description/>
  <cp:lastModifiedBy>Allen, David</cp:lastModifiedBy>
  <cp:revision>2</cp:revision>
  <dcterms:created xsi:type="dcterms:W3CDTF">2026-09-17T16:50:00Z</dcterms:created>
  <dcterms:modified xsi:type="dcterms:W3CDTF">2026-09-17T16:56:00Z</dcterms:modified>
</cp:coreProperties>
</file>